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67F12" w14:textId="0E7856A2" w:rsidR="005759B2" w:rsidRDefault="00A66849" w:rsidP="009027B8">
      <w:pPr>
        <w:spacing w:after="0"/>
        <w:ind w:left="-284" w:right="-337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</w:rPr>
        <w:drawing>
          <wp:anchor distT="0" distB="0" distL="114300" distR="114300" simplePos="0" relativeHeight="251658240" behindDoc="0" locked="0" layoutInCell="1" allowOverlap="1" wp14:anchorId="3E84C9C8" wp14:editId="023FDEF4">
            <wp:simplePos x="0" y="0"/>
            <wp:positionH relativeFrom="column">
              <wp:posOffset>-170329</wp:posOffset>
            </wp:positionH>
            <wp:positionV relativeFrom="paragraph">
              <wp:posOffset>520</wp:posOffset>
            </wp:positionV>
            <wp:extent cx="3459600" cy="417600"/>
            <wp:effectExtent l="0" t="0" r="0" b="190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459600" cy="417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565F7">
        <w:rPr>
          <w:rFonts w:ascii="Times New Roman" w:hAnsi="Times New Roman"/>
          <w:b/>
        </w:rPr>
        <w:br w:type="textWrapping" w:clear="all"/>
      </w:r>
    </w:p>
    <w:p w14:paraId="54FE4C74" w14:textId="6CCB97B5" w:rsidR="002C61ED" w:rsidRDefault="005A1181" w:rsidP="00A66849">
      <w:pPr>
        <w:spacing w:after="0"/>
        <w:ind w:left="-284" w:right="-337"/>
        <w:jc w:val="center"/>
        <w:rPr>
          <w:rFonts w:ascii="Arial" w:hAnsi="Arial" w:cs="Arial"/>
          <w:b/>
          <w:sz w:val="22"/>
          <w:szCs w:val="22"/>
        </w:rPr>
      </w:pPr>
      <w:r w:rsidRPr="00A449DA">
        <w:rPr>
          <w:rFonts w:ascii="Arial" w:hAnsi="Arial" w:cs="Arial"/>
          <w:b/>
          <w:sz w:val="22"/>
          <w:szCs w:val="22"/>
        </w:rPr>
        <w:t>PhD Project Commencing October 202</w:t>
      </w:r>
      <w:r w:rsidR="00A265F9">
        <w:rPr>
          <w:rFonts w:ascii="Arial" w:hAnsi="Arial" w:cs="Arial"/>
          <w:b/>
          <w:sz w:val="22"/>
          <w:szCs w:val="22"/>
        </w:rPr>
        <w:t>4</w:t>
      </w:r>
    </w:p>
    <w:p w14:paraId="79C0DC26" w14:textId="4C78CCDA" w:rsidR="00B45D03" w:rsidRPr="00A449DA" w:rsidRDefault="00B45D03" w:rsidP="00A66849">
      <w:pPr>
        <w:spacing w:after="0"/>
        <w:ind w:left="-284" w:right="-337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(Closing date: </w:t>
      </w:r>
      <w:r w:rsidR="00910ABE">
        <w:rPr>
          <w:rFonts w:ascii="Arial" w:hAnsi="Arial" w:cs="Arial"/>
          <w:b/>
          <w:sz w:val="22"/>
          <w:szCs w:val="22"/>
        </w:rPr>
        <w:t>14 March</w:t>
      </w:r>
      <w:r>
        <w:rPr>
          <w:rFonts w:ascii="Arial" w:hAnsi="Arial" w:cs="Arial"/>
          <w:b/>
          <w:sz w:val="22"/>
          <w:szCs w:val="22"/>
        </w:rPr>
        <w:t xml:space="preserve"> 202</w:t>
      </w:r>
      <w:r w:rsidR="00D26200">
        <w:rPr>
          <w:rFonts w:ascii="Arial" w:hAnsi="Arial" w:cs="Arial"/>
          <w:b/>
          <w:sz w:val="22"/>
          <w:szCs w:val="22"/>
        </w:rPr>
        <w:t>4</w:t>
      </w:r>
      <w:r>
        <w:rPr>
          <w:rFonts w:ascii="Arial" w:hAnsi="Arial" w:cs="Arial"/>
          <w:b/>
          <w:sz w:val="22"/>
          <w:szCs w:val="22"/>
        </w:rPr>
        <w:t>)</w:t>
      </w:r>
    </w:p>
    <w:p w14:paraId="1B8AD09C" w14:textId="77777777" w:rsidR="002C61ED" w:rsidRPr="00A449DA" w:rsidRDefault="002C61ED" w:rsidP="00A66849">
      <w:pPr>
        <w:spacing w:after="0"/>
        <w:ind w:left="-284" w:right="-337"/>
        <w:rPr>
          <w:rFonts w:ascii="Arial" w:hAnsi="Arial" w:cs="Arial"/>
          <w:b/>
          <w:sz w:val="22"/>
          <w:szCs w:val="22"/>
        </w:rPr>
      </w:pPr>
    </w:p>
    <w:p w14:paraId="28E9DD17" w14:textId="7AB9D32F" w:rsidR="00B8761B" w:rsidRPr="00C93201" w:rsidRDefault="00B8761B" w:rsidP="00E0575B">
      <w:pPr>
        <w:spacing w:after="0"/>
        <w:ind w:left="-284" w:right="-337"/>
        <w:jc w:val="center"/>
        <w:rPr>
          <w:rFonts w:ascii="Arial" w:hAnsi="Arial" w:cs="Arial"/>
          <w:bCs/>
          <w:sz w:val="22"/>
          <w:szCs w:val="22"/>
        </w:rPr>
      </w:pPr>
      <w:r w:rsidRPr="00A449DA">
        <w:rPr>
          <w:rFonts w:ascii="Arial" w:hAnsi="Arial" w:cs="Arial"/>
          <w:b/>
          <w:sz w:val="22"/>
          <w:szCs w:val="22"/>
        </w:rPr>
        <w:t>Principal Supervisor:</w:t>
      </w:r>
      <w:r w:rsidRPr="00A449DA">
        <w:rPr>
          <w:rFonts w:ascii="Arial" w:hAnsi="Arial" w:cs="Arial"/>
          <w:b/>
          <w:sz w:val="22"/>
          <w:szCs w:val="22"/>
        </w:rPr>
        <w:tab/>
      </w:r>
      <w:hyperlink r:id="rId6" w:history="1">
        <w:r w:rsidR="00C93201" w:rsidRPr="00C93201">
          <w:rPr>
            <w:rStyle w:val="Hyperlink"/>
            <w:rFonts w:ascii="Arial" w:hAnsi="Arial" w:cs="Arial"/>
            <w:b/>
            <w:sz w:val="22"/>
            <w:szCs w:val="22"/>
          </w:rPr>
          <w:t>Alex Whitworth</w:t>
        </w:r>
      </w:hyperlink>
      <w:r w:rsidR="00C93201">
        <w:rPr>
          <w:rFonts w:ascii="Arial" w:hAnsi="Arial" w:cs="Arial"/>
          <w:b/>
          <w:sz w:val="22"/>
          <w:szCs w:val="22"/>
        </w:rPr>
        <w:tab/>
      </w:r>
      <w:r w:rsidR="00C93201" w:rsidRPr="00C93201">
        <w:rPr>
          <w:rFonts w:ascii="Arial" w:hAnsi="Arial" w:cs="Arial"/>
          <w:bCs/>
          <w:sz w:val="22"/>
          <w:szCs w:val="22"/>
        </w:rPr>
        <w:t>(enquiries to: a.whitworth@mrc-mbu.cam.ac.uk</w:t>
      </w:r>
      <w:r w:rsidR="00C93201">
        <w:rPr>
          <w:rFonts w:ascii="Arial" w:hAnsi="Arial" w:cs="Arial"/>
          <w:bCs/>
          <w:sz w:val="22"/>
          <w:szCs w:val="22"/>
        </w:rPr>
        <w:t>)</w:t>
      </w:r>
    </w:p>
    <w:p w14:paraId="6F4560E9" w14:textId="5C5D2A8D" w:rsidR="00B8761B" w:rsidRPr="00A449DA" w:rsidRDefault="00A66849" w:rsidP="00A66849">
      <w:pPr>
        <w:spacing w:after="0"/>
        <w:ind w:left="-284" w:right="-337"/>
        <w:rPr>
          <w:rFonts w:ascii="Arial" w:hAnsi="Arial" w:cs="Arial"/>
          <w:b/>
          <w:sz w:val="22"/>
          <w:szCs w:val="22"/>
        </w:rPr>
      </w:pPr>
      <w:r w:rsidRPr="00A449DA">
        <w:rPr>
          <w:rFonts w:ascii="Arial" w:hAnsi="Arial" w:cs="Arial"/>
          <w:b/>
          <w:sz w:val="22"/>
          <w:szCs w:val="22"/>
        </w:rPr>
        <w:tab/>
      </w:r>
      <w:r w:rsidRPr="00A449DA">
        <w:rPr>
          <w:rFonts w:ascii="Arial" w:hAnsi="Arial" w:cs="Arial"/>
          <w:b/>
          <w:sz w:val="22"/>
          <w:szCs w:val="22"/>
        </w:rPr>
        <w:tab/>
      </w:r>
      <w:r w:rsidRPr="00A449DA">
        <w:rPr>
          <w:rFonts w:ascii="Arial" w:hAnsi="Arial" w:cs="Arial"/>
          <w:b/>
          <w:sz w:val="22"/>
          <w:szCs w:val="22"/>
        </w:rPr>
        <w:tab/>
      </w:r>
      <w:r w:rsidRPr="00A449DA">
        <w:rPr>
          <w:rFonts w:ascii="Arial" w:hAnsi="Arial" w:cs="Arial"/>
          <w:b/>
          <w:sz w:val="22"/>
          <w:szCs w:val="22"/>
        </w:rPr>
        <w:tab/>
      </w:r>
      <w:r w:rsidRPr="00A449DA">
        <w:rPr>
          <w:rFonts w:ascii="Arial" w:hAnsi="Arial" w:cs="Arial"/>
          <w:b/>
          <w:sz w:val="22"/>
          <w:szCs w:val="22"/>
        </w:rPr>
        <w:tab/>
        <w:t xml:space="preserve"> </w:t>
      </w:r>
    </w:p>
    <w:p w14:paraId="12F31061" w14:textId="2E5E2CA7" w:rsidR="00C93201" w:rsidRDefault="00D26200" w:rsidP="00C93201">
      <w:pPr>
        <w:spacing w:after="0"/>
        <w:ind w:left="-284" w:right="-337"/>
        <w:jc w:val="center"/>
        <w:rPr>
          <w:rFonts w:ascii="Arial" w:hAnsi="Arial" w:cs="Arial"/>
          <w:b/>
          <w:sz w:val="22"/>
          <w:szCs w:val="22"/>
        </w:rPr>
      </w:pPr>
      <w:r w:rsidRPr="00D26200">
        <w:rPr>
          <w:rFonts w:ascii="Arial" w:hAnsi="Arial" w:cs="Arial"/>
          <w:b/>
          <w:sz w:val="22"/>
          <w:szCs w:val="22"/>
        </w:rPr>
        <w:t>Analysing the role of mitochondrial calcium in neurodegeneration</w:t>
      </w:r>
    </w:p>
    <w:p w14:paraId="4523BC3A" w14:textId="77777777" w:rsidR="00D26200" w:rsidRPr="00C93201" w:rsidRDefault="00D26200" w:rsidP="00C93201">
      <w:pPr>
        <w:spacing w:after="0"/>
        <w:ind w:left="-284" w:right="-337"/>
        <w:jc w:val="center"/>
        <w:rPr>
          <w:rFonts w:ascii="Arial" w:hAnsi="Arial" w:cs="Arial"/>
          <w:b/>
          <w:sz w:val="22"/>
          <w:szCs w:val="22"/>
        </w:rPr>
      </w:pPr>
    </w:p>
    <w:p w14:paraId="4A88AC40" w14:textId="77777777" w:rsidR="00910ABE" w:rsidRPr="00910ABE" w:rsidRDefault="00910ABE" w:rsidP="00910ABE">
      <w:pPr>
        <w:ind w:left="-284" w:right="-337"/>
        <w:jc w:val="both"/>
        <w:rPr>
          <w:rFonts w:ascii="Arial" w:hAnsi="Arial" w:cs="Arial"/>
          <w:sz w:val="22"/>
          <w:szCs w:val="22"/>
        </w:rPr>
      </w:pPr>
      <w:r w:rsidRPr="00910ABE">
        <w:rPr>
          <w:rFonts w:ascii="Arial" w:hAnsi="Arial" w:cs="Arial"/>
          <w:sz w:val="22"/>
          <w:szCs w:val="22"/>
        </w:rPr>
        <w:t xml:space="preserve">Mitochondrial calcium plays a key role in a wide array of cellular homeostatic processes and has been linked to causing neurodegeneration [1]. The research in our lab focusses on understanding the causes of various neurodegenerative diseases, such as Parkinson’s and Huntington’s Disease, to identify potential therapeutic interventions. We take a multi-disciplinary approach to combine molecular cell biological techniques with the powerful genetic model, </w:t>
      </w:r>
      <w:r w:rsidRPr="00910ABE">
        <w:rPr>
          <w:rFonts w:ascii="Arial" w:hAnsi="Arial" w:cs="Arial"/>
          <w:i/>
          <w:iCs/>
          <w:sz w:val="22"/>
          <w:szCs w:val="22"/>
        </w:rPr>
        <w:t>Drosophila</w:t>
      </w:r>
      <w:r w:rsidRPr="00910ABE">
        <w:rPr>
          <w:rFonts w:ascii="Arial" w:hAnsi="Arial" w:cs="Arial"/>
          <w:sz w:val="22"/>
          <w:szCs w:val="22"/>
        </w:rPr>
        <w:t xml:space="preserve">. </w:t>
      </w:r>
    </w:p>
    <w:p w14:paraId="7844F960" w14:textId="20D878ED" w:rsidR="00910ABE" w:rsidRPr="00910ABE" w:rsidRDefault="00910ABE" w:rsidP="00910ABE">
      <w:pPr>
        <w:ind w:left="-284" w:right="-337"/>
        <w:jc w:val="both"/>
        <w:rPr>
          <w:rFonts w:ascii="Arial" w:hAnsi="Arial" w:cs="Arial"/>
          <w:sz w:val="22"/>
          <w:szCs w:val="22"/>
        </w:rPr>
      </w:pPr>
      <w:r w:rsidRPr="00910ABE">
        <w:rPr>
          <w:rFonts w:ascii="Arial" w:hAnsi="Arial" w:cs="Arial"/>
          <w:sz w:val="22"/>
          <w:szCs w:val="22"/>
        </w:rPr>
        <w:t xml:space="preserve">We have developed a genetic toolkit to manipulate mitochondrial calcium flux in </w:t>
      </w:r>
      <w:r w:rsidRPr="00910ABE">
        <w:rPr>
          <w:rFonts w:ascii="Arial" w:hAnsi="Arial" w:cs="Arial"/>
          <w:i/>
          <w:iCs/>
          <w:sz w:val="22"/>
          <w:szCs w:val="22"/>
        </w:rPr>
        <w:t xml:space="preserve">Drosophila </w:t>
      </w:r>
      <w:r w:rsidRPr="00910ABE">
        <w:rPr>
          <w:rFonts w:ascii="Arial" w:hAnsi="Arial" w:cs="Arial"/>
          <w:sz w:val="22"/>
          <w:szCs w:val="22"/>
        </w:rPr>
        <w:t xml:space="preserve">[2]. Using these, we have found that reducing mitochondrial calcium uptake is beneficial in a range of neurodegenerative disease models [3]. This project will further characterise this interaction as a potential therapeutic avenue, and to understand the molecular basis behind the sensitivity of these disease conditions to mitochondrial calcium. </w:t>
      </w:r>
    </w:p>
    <w:p w14:paraId="091FC7D2" w14:textId="2BA3F184" w:rsidR="00910ABE" w:rsidRPr="00910ABE" w:rsidRDefault="00910ABE" w:rsidP="00910ABE">
      <w:pPr>
        <w:ind w:left="-284" w:right="-337"/>
        <w:jc w:val="both"/>
        <w:rPr>
          <w:rFonts w:ascii="Arial" w:hAnsi="Arial" w:cs="Arial"/>
          <w:sz w:val="22"/>
          <w:szCs w:val="22"/>
        </w:rPr>
      </w:pPr>
      <w:r w:rsidRPr="00910ABE">
        <w:rPr>
          <w:rFonts w:ascii="Arial" w:hAnsi="Arial" w:cs="Arial"/>
          <w:sz w:val="22"/>
          <w:szCs w:val="22"/>
        </w:rPr>
        <w:t xml:space="preserve">The experimental aims will encompass a wide range of techniques including </w:t>
      </w:r>
      <w:r w:rsidRPr="00910ABE">
        <w:rPr>
          <w:rFonts w:ascii="Arial" w:hAnsi="Arial" w:cs="Arial"/>
          <w:i/>
          <w:sz w:val="22"/>
          <w:szCs w:val="22"/>
        </w:rPr>
        <w:t>Drosophila</w:t>
      </w:r>
      <w:r w:rsidRPr="00910ABE">
        <w:rPr>
          <w:rFonts w:ascii="Arial" w:hAnsi="Arial" w:cs="Arial"/>
          <w:sz w:val="22"/>
          <w:szCs w:val="22"/>
        </w:rPr>
        <w:t xml:space="preserve"> genetics, live-imaging techniques to analyse mitochondrial calcium dynamics, as well as behavioural and neuro-functional assays. Molecular techniques will also be employed to analyse cellular changes, </w:t>
      </w:r>
      <w:proofErr w:type="gramStart"/>
      <w:r w:rsidRPr="00910ABE">
        <w:rPr>
          <w:rFonts w:ascii="Arial" w:hAnsi="Arial" w:cs="Arial"/>
          <w:sz w:val="22"/>
          <w:szCs w:val="22"/>
        </w:rPr>
        <w:t>in particular to</w:t>
      </w:r>
      <w:proofErr w:type="gramEnd"/>
      <w:r w:rsidRPr="00910ABE">
        <w:rPr>
          <w:rFonts w:ascii="Arial" w:hAnsi="Arial" w:cs="Arial"/>
          <w:sz w:val="22"/>
          <w:szCs w:val="22"/>
        </w:rPr>
        <w:t xml:space="preserve"> the metabolic pathways and autophagy, that underpin the consequences of dysregulated mitochondrial calcium handling. Insight into these pathogenic and homeostatic mechanisms will give us a greater understanding of the causes of these diseases and illuminate potential therapeutic avenues. </w:t>
      </w:r>
    </w:p>
    <w:p w14:paraId="23E1990F" w14:textId="23418527" w:rsidR="00D26200" w:rsidRPr="00910ABE" w:rsidRDefault="00910ABE" w:rsidP="00910ABE">
      <w:pPr>
        <w:spacing w:after="0"/>
        <w:ind w:left="-284" w:right="-337"/>
        <w:jc w:val="both"/>
        <w:rPr>
          <w:rFonts w:ascii="Arial" w:hAnsi="Arial" w:cs="Arial"/>
          <w:b/>
          <w:sz w:val="22"/>
          <w:szCs w:val="22"/>
        </w:rPr>
      </w:pPr>
      <w:r w:rsidRPr="00910ABE">
        <w:rPr>
          <w:rFonts w:ascii="Arial" w:hAnsi="Arial" w:cs="Arial"/>
          <w:sz w:val="22"/>
          <w:szCs w:val="22"/>
        </w:rPr>
        <w:t xml:space="preserve">Competitive applicants will have a high degree classification from a leading university, with excellent knowledge and experience within the fields of cell biology, </w:t>
      </w:r>
      <w:proofErr w:type="gramStart"/>
      <w:r w:rsidRPr="00910ABE">
        <w:rPr>
          <w:rFonts w:ascii="Arial" w:hAnsi="Arial" w:cs="Arial"/>
          <w:sz w:val="22"/>
          <w:szCs w:val="22"/>
        </w:rPr>
        <w:t>genetics</w:t>
      </w:r>
      <w:proofErr w:type="gramEnd"/>
      <w:r w:rsidRPr="00910ABE">
        <w:rPr>
          <w:rFonts w:ascii="Arial" w:hAnsi="Arial" w:cs="Arial"/>
          <w:sz w:val="22"/>
          <w:szCs w:val="22"/>
        </w:rPr>
        <w:t xml:space="preserve"> and the use of small model organisms in modelling human disease. They will also have substantial lab experience in molecular, cell biology and/or genetic techniques.</w:t>
      </w:r>
    </w:p>
    <w:p w14:paraId="69F86EC3" w14:textId="77777777" w:rsidR="00910ABE" w:rsidRDefault="00910ABE" w:rsidP="00D26200">
      <w:pPr>
        <w:spacing w:after="0"/>
        <w:ind w:left="-284" w:right="-337"/>
        <w:rPr>
          <w:rFonts w:ascii="Arial" w:hAnsi="Arial" w:cs="Arial"/>
          <w:b/>
          <w:sz w:val="22"/>
          <w:szCs w:val="22"/>
        </w:rPr>
      </w:pPr>
    </w:p>
    <w:p w14:paraId="7A584C41" w14:textId="4B75317D" w:rsidR="00D26200" w:rsidRPr="00A449DA" w:rsidRDefault="00B8761B" w:rsidP="00D26200">
      <w:pPr>
        <w:spacing w:after="0"/>
        <w:ind w:left="-284" w:right="-337"/>
        <w:rPr>
          <w:rFonts w:ascii="Arial" w:hAnsi="Arial" w:cs="Arial"/>
          <w:b/>
          <w:sz w:val="22"/>
          <w:szCs w:val="22"/>
        </w:rPr>
      </w:pPr>
      <w:r w:rsidRPr="00A449DA">
        <w:rPr>
          <w:rFonts w:ascii="Arial" w:hAnsi="Arial" w:cs="Arial"/>
          <w:b/>
          <w:sz w:val="22"/>
          <w:szCs w:val="22"/>
        </w:rPr>
        <w:t>Keywords</w:t>
      </w:r>
    </w:p>
    <w:p w14:paraId="4A57F04F" w14:textId="77777777" w:rsidR="00E93B5E" w:rsidRDefault="00E93B5E" w:rsidP="00A66849">
      <w:pPr>
        <w:spacing w:after="0"/>
        <w:ind w:left="-284" w:right="-337"/>
        <w:rPr>
          <w:rFonts w:ascii="Arial" w:hAnsi="Arial" w:cs="Arial"/>
          <w:bCs/>
          <w:sz w:val="22"/>
          <w:szCs w:val="22"/>
        </w:rPr>
      </w:pPr>
    </w:p>
    <w:p w14:paraId="5E2D7792" w14:textId="383452C4" w:rsidR="00B8761B" w:rsidRPr="00A449DA" w:rsidRDefault="00B8761B" w:rsidP="00A66849">
      <w:pPr>
        <w:spacing w:after="0"/>
        <w:ind w:left="-284" w:right="-337"/>
        <w:rPr>
          <w:rFonts w:ascii="Arial" w:hAnsi="Arial" w:cs="Arial"/>
          <w:bCs/>
          <w:sz w:val="22"/>
          <w:szCs w:val="22"/>
        </w:rPr>
      </w:pPr>
      <w:r w:rsidRPr="00A449DA">
        <w:rPr>
          <w:rFonts w:ascii="Arial" w:hAnsi="Arial" w:cs="Arial"/>
          <w:bCs/>
          <w:sz w:val="22"/>
          <w:szCs w:val="22"/>
        </w:rPr>
        <w:t xml:space="preserve">General: </w:t>
      </w:r>
    </w:p>
    <w:p w14:paraId="7D642B61" w14:textId="14E720DB" w:rsidR="00B8761B" w:rsidRDefault="00D6636A" w:rsidP="00A66849">
      <w:pPr>
        <w:spacing w:after="0"/>
        <w:ind w:left="-284" w:right="-337"/>
        <w:rPr>
          <w:rFonts w:ascii="Arial" w:hAnsi="Arial" w:cs="Arial"/>
          <w:bCs/>
          <w:sz w:val="22"/>
          <w:szCs w:val="22"/>
        </w:rPr>
      </w:pPr>
      <w:r w:rsidRPr="00D6636A">
        <w:rPr>
          <w:rFonts w:ascii="Arial" w:hAnsi="Arial" w:cs="Arial"/>
          <w:bCs/>
          <w:sz w:val="22"/>
          <w:szCs w:val="22"/>
        </w:rPr>
        <w:t xml:space="preserve">Mitochondria, </w:t>
      </w:r>
      <w:r w:rsidR="009027B8">
        <w:rPr>
          <w:rFonts w:ascii="Arial" w:hAnsi="Arial" w:cs="Arial"/>
          <w:bCs/>
          <w:sz w:val="22"/>
          <w:szCs w:val="22"/>
        </w:rPr>
        <w:t>calcium, neurodegeneration</w:t>
      </w:r>
    </w:p>
    <w:p w14:paraId="52244760" w14:textId="77777777" w:rsidR="00D6636A" w:rsidRPr="00A449DA" w:rsidRDefault="00D6636A" w:rsidP="00A66849">
      <w:pPr>
        <w:spacing w:after="0"/>
        <w:ind w:left="-284" w:right="-337"/>
        <w:rPr>
          <w:rFonts w:ascii="Arial" w:hAnsi="Arial" w:cs="Arial"/>
          <w:bCs/>
          <w:sz w:val="22"/>
          <w:szCs w:val="22"/>
        </w:rPr>
      </w:pPr>
    </w:p>
    <w:p w14:paraId="6E4DF85C" w14:textId="77777777" w:rsidR="00B8761B" w:rsidRPr="00A449DA" w:rsidRDefault="00B8761B" w:rsidP="00A66849">
      <w:pPr>
        <w:spacing w:after="0"/>
        <w:ind w:left="-284" w:right="-337"/>
        <w:rPr>
          <w:rFonts w:ascii="Arial" w:hAnsi="Arial" w:cs="Arial"/>
          <w:bCs/>
          <w:sz w:val="22"/>
          <w:szCs w:val="22"/>
        </w:rPr>
      </w:pPr>
      <w:r w:rsidRPr="00A449DA">
        <w:rPr>
          <w:rFonts w:ascii="Arial" w:hAnsi="Arial" w:cs="Arial"/>
          <w:bCs/>
          <w:sz w:val="22"/>
          <w:szCs w:val="22"/>
        </w:rPr>
        <w:t xml:space="preserve">More specific:  </w:t>
      </w:r>
    </w:p>
    <w:p w14:paraId="31329934" w14:textId="77777777" w:rsidR="009027B8" w:rsidRDefault="009027B8" w:rsidP="00A66849">
      <w:pPr>
        <w:spacing w:after="0"/>
        <w:ind w:left="-284" w:right="-337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Parkinson’s disease, Huntington’s disease, </w:t>
      </w:r>
      <w:r w:rsidRPr="009027B8">
        <w:rPr>
          <w:rFonts w:ascii="Arial" w:hAnsi="Arial" w:cs="Arial"/>
          <w:bCs/>
          <w:i/>
          <w:iCs/>
          <w:sz w:val="22"/>
          <w:szCs w:val="22"/>
        </w:rPr>
        <w:t>Drosophila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Pr="009027B8">
        <w:rPr>
          <w:rFonts w:ascii="Arial" w:hAnsi="Arial" w:cs="Arial"/>
          <w:bCs/>
          <w:i/>
          <w:iCs/>
          <w:sz w:val="22"/>
          <w:szCs w:val="22"/>
        </w:rPr>
        <w:t>in vivo</w:t>
      </w:r>
      <w:r>
        <w:rPr>
          <w:rFonts w:ascii="Arial" w:hAnsi="Arial" w:cs="Arial"/>
          <w:bCs/>
          <w:sz w:val="22"/>
          <w:szCs w:val="22"/>
        </w:rPr>
        <w:t>, autophagy</w:t>
      </w:r>
    </w:p>
    <w:p w14:paraId="37951186" w14:textId="77777777" w:rsidR="00D6636A" w:rsidRPr="00A449DA" w:rsidRDefault="00D6636A" w:rsidP="00A66849">
      <w:pPr>
        <w:spacing w:after="0"/>
        <w:ind w:left="-284" w:right="-337"/>
        <w:rPr>
          <w:rFonts w:ascii="Arial" w:hAnsi="Arial" w:cs="Arial"/>
          <w:bCs/>
          <w:sz w:val="22"/>
          <w:szCs w:val="22"/>
        </w:rPr>
      </w:pPr>
    </w:p>
    <w:p w14:paraId="33A7311B" w14:textId="074D35CC" w:rsidR="00B8761B" w:rsidRPr="00A449DA" w:rsidRDefault="00B8761B" w:rsidP="00A66849">
      <w:pPr>
        <w:spacing w:after="0"/>
        <w:ind w:left="-284" w:right="-337"/>
        <w:rPr>
          <w:rFonts w:ascii="Arial" w:hAnsi="Arial" w:cs="Arial"/>
          <w:b/>
          <w:sz w:val="22"/>
          <w:szCs w:val="22"/>
        </w:rPr>
      </w:pPr>
      <w:r w:rsidRPr="00A449DA">
        <w:rPr>
          <w:rFonts w:ascii="Arial" w:hAnsi="Arial" w:cs="Arial"/>
          <w:b/>
          <w:sz w:val="22"/>
          <w:szCs w:val="22"/>
        </w:rPr>
        <w:t>References</w:t>
      </w:r>
    </w:p>
    <w:p w14:paraId="38157D12" w14:textId="2B6BEA97" w:rsidR="00B8761B" w:rsidRPr="00A449DA" w:rsidRDefault="00B8761B" w:rsidP="00A66849">
      <w:pPr>
        <w:spacing w:after="0"/>
        <w:ind w:left="-284" w:right="-337"/>
        <w:rPr>
          <w:rFonts w:ascii="Arial" w:hAnsi="Arial" w:cs="Arial"/>
          <w:b/>
          <w:sz w:val="22"/>
          <w:szCs w:val="22"/>
        </w:rPr>
      </w:pPr>
    </w:p>
    <w:p w14:paraId="08DBCAD1" w14:textId="53F95C97" w:rsidR="00910ABE" w:rsidRPr="00E93B5E" w:rsidRDefault="00910ABE" w:rsidP="00E93B5E">
      <w:pPr>
        <w:spacing w:after="0"/>
        <w:ind w:left="142" w:right="-337" w:hanging="426"/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6C2B73">
        <w:rPr>
          <w:rFonts w:ascii="Times New Roman" w:hAnsi="Times New Roman"/>
          <w:bCs/>
          <w:lang w:val="en-US"/>
        </w:rPr>
        <w:t>1.</w:t>
      </w:r>
      <w:r>
        <w:rPr>
          <w:rFonts w:ascii="Times New Roman" w:hAnsi="Times New Roman"/>
          <w:bCs/>
          <w:lang w:val="en-US"/>
        </w:rPr>
        <w:t xml:space="preserve"> </w:t>
      </w:r>
      <w:r>
        <w:rPr>
          <w:rFonts w:ascii="Times New Roman" w:hAnsi="Times New Roman"/>
          <w:bCs/>
          <w:lang w:val="en-US"/>
        </w:rPr>
        <w:tab/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Granatiero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V, De Stefani D, Rizzuto R. Mitochondrial Calcium Handling in Physiology and Disease. </w:t>
      </w:r>
      <w:r w:rsidRPr="00E93B5E">
        <w:rPr>
          <w:rFonts w:ascii="Arial" w:hAnsi="Arial" w:cs="Arial"/>
          <w:bCs/>
          <w:i/>
          <w:sz w:val="22"/>
          <w:szCs w:val="22"/>
          <w:u w:val="single"/>
          <w:lang w:val="en-US"/>
        </w:rPr>
        <w:t>Adv Exp Med Biol</w:t>
      </w:r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. </w:t>
      </w:r>
      <w:proofErr w:type="gramStart"/>
      <w:r w:rsidRPr="00E93B5E">
        <w:rPr>
          <w:rFonts w:ascii="Arial" w:hAnsi="Arial" w:cs="Arial"/>
          <w:bCs/>
          <w:sz w:val="22"/>
          <w:szCs w:val="22"/>
          <w:lang w:val="en-US"/>
        </w:rPr>
        <w:t>2017;982:25</w:t>
      </w:r>
      <w:proofErr w:type="gramEnd"/>
      <w:r w:rsidRPr="00E93B5E">
        <w:rPr>
          <w:rFonts w:ascii="Arial" w:hAnsi="Arial" w:cs="Arial"/>
          <w:bCs/>
          <w:sz w:val="22"/>
          <w:szCs w:val="22"/>
          <w:lang w:val="en-US"/>
        </w:rPr>
        <w:t>-47.</w:t>
      </w:r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doi:</w:t>
      </w:r>
      <w:r w:rsidRPr="00E93B5E">
        <w:rPr>
          <w:rFonts w:ascii="Arial" w:hAnsi="Arial" w:cs="Arial"/>
          <w:bCs/>
          <w:sz w:val="22"/>
          <w:szCs w:val="22"/>
          <w:lang w:val="en-US"/>
        </w:rPr>
        <w:t>10.1007/978-3-319-55330-6_2</w:t>
      </w:r>
    </w:p>
    <w:p w14:paraId="730076E9" w14:textId="77777777" w:rsidR="00910ABE" w:rsidRPr="00E93B5E" w:rsidRDefault="00910ABE" w:rsidP="00E93B5E">
      <w:pPr>
        <w:spacing w:after="0"/>
        <w:ind w:left="142" w:right="-337" w:hanging="426"/>
        <w:jc w:val="both"/>
        <w:rPr>
          <w:rFonts w:ascii="Arial" w:hAnsi="Arial" w:cs="Arial"/>
          <w:bCs/>
          <w:sz w:val="22"/>
          <w:szCs w:val="22"/>
        </w:rPr>
      </w:pPr>
    </w:p>
    <w:p w14:paraId="73DEB151" w14:textId="3BD6ABB8" w:rsidR="00910ABE" w:rsidRPr="00E93B5E" w:rsidRDefault="00910ABE" w:rsidP="00E93B5E">
      <w:pPr>
        <w:spacing w:after="0"/>
        <w:ind w:left="142" w:right="-337" w:hanging="426"/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E93B5E">
        <w:rPr>
          <w:rFonts w:ascii="Arial" w:hAnsi="Arial" w:cs="Arial"/>
          <w:bCs/>
          <w:sz w:val="22"/>
          <w:szCs w:val="22"/>
        </w:rPr>
        <w:t xml:space="preserve">2. </w:t>
      </w:r>
      <w:r w:rsidRPr="00E93B5E">
        <w:rPr>
          <w:rFonts w:ascii="Arial" w:hAnsi="Arial" w:cs="Arial"/>
          <w:bCs/>
          <w:sz w:val="22"/>
          <w:szCs w:val="22"/>
        </w:rPr>
        <w:tab/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Tufi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R, Gleeson TP, von Stockum S, Hewitt VL, Lee JJ, </w:t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Terriente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>-Felix A, Sanchez-</w:t>
      </w:r>
      <w:r w:rsidRPr="00E93B5E">
        <w:rPr>
          <w:rFonts w:ascii="Arial" w:hAnsi="Arial" w:cs="Arial"/>
          <w:bCs/>
          <w:sz w:val="22"/>
          <w:szCs w:val="22"/>
          <w:lang w:val="en-US"/>
        </w:rPr>
        <w:t>M</w:t>
      </w:r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artinez A, </w:t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Ziviani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E, Whitworth AJ. Comprehensive Genetic Characterization of Mitochondrial </w:t>
      </w:r>
      <w:proofErr w:type="gramStart"/>
      <w:r w:rsidRPr="00E93B5E">
        <w:rPr>
          <w:rFonts w:ascii="Arial" w:hAnsi="Arial" w:cs="Arial"/>
          <w:bCs/>
          <w:sz w:val="22"/>
          <w:szCs w:val="22"/>
          <w:lang w:val="en-US"/>
        </w:rPr>
        <w:t>Ca(</w:t>
      </w:r>
      <w:proofErr w:type="gram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2+) Uniporter Components Reveals Their Different Physiological Requirements In Vivo. </w:t>
      </w:r>
      <w:r w:rsidRPr="00E93B5E">
        <w:rPr>
          <w:rFonts w:ascii="Arial" w:hAnsi="Arial" w:cs="Arial"/>
          <w:bCs/>
          <w:i/>
          <w:sz w:val="22"/>
          <w:szCs w:val="22"/>
          <w:u w:val="single"/>
          <w:lang w:val="en-US"/>
        </w:rPr>
        <w:t>Cell Rep</w:t>
      </w:r>
      <w:r w:rsidRPr="00E93B5E">
        <w:rPr>
          <w:rFonts w:ascii="Arial" w:hAnsi="Arial" w:cs="Arial"/>
          <w:bCs/>
          <w:sz w:val="22"/>
          <w:szCs w:val="22"/>
          <w:lang w:val="en-US"/>
        </w:rPr>
        <w:t>. 2019;27(5):1541-50 e5.</w:t>
      </w:r>
      <w:r w:rsidR="00343F8E" w:rsidRPr="00E93B5E">
        <w:rPr>
          <w:rFonts w:ascii="Arial" w:hAnsi="Arial" w:cs="Arial"/>
          <w:bCs/>
          <w:sz w:val="22"/>
          <w:szCs w:val="22"/>
          <w:lang w:val="en-US"/>
        </w:rPr>
        <w:t xml:space="preserve"> </w:t>
      </w:r>
      <w:proofErr w:type="gramStart"/>
      <w:r w:rsidR="00343F8E" w:rsidRPr="00E93B5E">
        <w:rPr>
          <w:rFonts w:ascii="Arial" w:hAnsi="Arial" w:cs="Arial"/>
          <w:bCs/>
          <w:sz w:val="22"/>
          <w:szCs w:val="22"/>
          <w:lang w:val="en-US"/>
        </w:rPr>
        <w:t>doi:</w:t>
      </w:r>
      <w:r w:rsidR="00343F8E" w:rsidRPr="00E93B5E">
        <w:rPr>
          <w:rFonts w:ascii="Arial" w:hAnsi="Arial" w:cs="Arial"/>
          <w:bCs/>
          <w:sz w:val="22"/>
          <w:szCs w:val="22"/>
          <w:lang w:val="en-US"/>
        </w:rPr>
        <w:t>10.1016/j.celrep</w:t>
      </w:r>
      <w:proofErr w:type="gramEnd"/>
      <w:r w:rsidR="00343F8E" w:rsidRPr="00E93B5E">
        <w:rPr>
          <w:rFonts w:ascii="Arial" w:hAnsi="Arial" w:cs="Arial"/>
          <w:bCs/>
          <w:sz w:val="22"/>
          <w:szCs w:val="22"/>
          <w:lang w:val="en-US"/>
        </w:rPr>
        <w:t>.2019.04.033</w:t>
      </w:r>
    </w:p>
    <w:p w14:paraId="41456730" w14:textId="77777777" w:rsidR="00910ABE" w:rsidRPr="00E93B5E" w:rsidRDefault="00910ABE" w:rsidP="00E93B5E">
      <w:pPr>
        <w:spacing w:after="0"/>
        <w:ind w:left="142" w:right="-337" w:hanging="426"/>
        <w:jc w:val="both"/>
        <w:rPr>
          <w:rFonts w:ascii="Arial" w:hAnsi="Arial" w:cs="Arial"/>
          <w:bCs/>
          <w:sz w:val="22"/>
          <w:szCs w:val="22"/>
          <w:lang w:val="en-US"/>
        </w:rPr>
      </w:pPr>
    </w:p>
    <w:p w14:paraId="1E947288" w14:textId="30BDD173" w:rsidR="00910ABE" w:rsidRPr="00E93B5E" w:rsidRDefault="00910ABE" w:rsidP="00E93B5E">
      <w:pPr>
        <w:spacing w:after="0"/>
        <w:ind w:left="142" w:right="-337" w:hanging="426"/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3. </w:t>
      </w:r>
      <w:r w:rsidRPr="00E93B5E">
        <w:rPr>
          <w:rFonts w:ascii="Arial" w:hAnsi="Arial" w:cs="Arial"/>
          <w:bCs/>
          <w:sz w:val="22"/>
          <w:szCs w:val="22"/>
          <w:lang w:val="en-US"/>
        </w:rPr>
        <w:tab/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Twyning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MJ, </w:t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Tufi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R, Gleeson TP, </w:t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Kolodziej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KM, </w:t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Campesan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S, </w:t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Terriente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-Felix A, Collins L, De </w:t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Lazzari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F, </w:t>
      </w:r>
      <w:proofErr w:type="spellStart"/>
      <w:r w:rsidRPr="00E93B5E">
        <w:rPr>
          <w:rFonts w:ascii="Arial" w:hAnsi="Arial" w:cs="Arial"/>
          <w:bCs/>
          <w:sz w:val="22"/>
          <w:szCs w:val="22"/>
          <w:lang w:val="en-US"/>
        </w:rPr>
        <w:t>Giorgini</w:t>
      </w:r>
      <w:proofErr w:type="spellEnd"/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F, Whitworth AJ. Partial loss of MCU mitigates pathology in vivo across a diverse range of neurodegenerative disease models. </w:t>
      </w:r>
      <w:r w:rsidRPr="00E93B5E">
        <w:rPr>
          <w:rFonts w:ascii="Arial" w:hAnsi="Arial" w:cs="Arial"/>
          <w:bCs/>
          <w:i/>
          <w:iCs/>
          <w:sz w:val="22"/>
          <w:szCs w:val="22"/>
          <w:u w:val="single"/>
          <w:lang w:val="en-US"/>
        </w:rPr>
        <w:t>Cell Rep</w:t>
      </w:r>
      <w:r w:rsidRPr="00E93B5E">
        <w:rPr>
          <w:rFonts w:ascii="Arial" w:hAnsi="Arial" w:cs="Arial"/>
          <w:bCs/>
          <w:sz w:val="22"/>
          <w:szCs w:val="22"/>
          <w:lang w:val="en-US"/>
        </w:rPr>
        <w:t>. 2024;43(2):113681.</w:t>
      </w:r>
      <w:r w:rsidRPr="00E93B5E">
        <w:rPr>
          <w:rFonts w:ascii="Arial" w:hAnsi="Arial" w:cs="Arial"/>
          <w:bCs/>
          <w:sz w:val="22"/>
          <w:szCs w:val="22"/>
          <w:lang w:val="en-US"/>
        </w:rPr>
        <w:t xml:space="preserve"> </w:t>
      </w:r>
      <w:proofErr w:type="gramStart"/>
      <w:r w:rsidR="00343F8E" w:rsidRPr="00E93B5E">
        <w:rPr>
          <w:rFonts w:ascii="Arial" w:hAnsi="Arial" w:cs="Arial"/>
          <w:bCs/>
          <w:sz w:val="22"/>
          <w:szCs w:val="22"/>
          <w:lang w:val="en-US"/>
        </w:rPr>
        <w:t>doi:</w:t>
      </w:r>
      <w:r w:rsidR="00343F8E" w:rsidRPr="00E93B5E">
        <w:rPr>
          <w:rFonts w:ascii="Arial" w:hAnsi="Arial" w:cs="Arial"/>
          <w:bCs/>
          <w:sz w:val="22"/>
          <w:szCs w:val="22"/>
          <w:lang w:val="en-US"/>
        </w:rPr>
        <w:t>10.1016/j.celrep</w:t>
      </w:r>
      <w:proofErr w:type="gramEnd"/>
      <w:r w:rsidR="00343F8E" w:rsidRPr="00E93B5E">
        <w:rPr>
          <w:rFonts w:ascii="Arial" w:hAnsi="Arial" w:cs="Arial"/>
          <w:bCs/>
          <w:sz w:val="22"/>
          <w:szCs w:val="22"/>
          <w:lang w:val="en-US"/>
        </w:rPr>
        <w:t xml:space="preserve">.2024.113681 </w:t>
      </w:r>
    </w:p>
    <w:p w14:paraId="185E3B48" w14:textId="77777777" w:rsidR="00D6636A" w:rsidRPr="009027B8" w:rsidRDefault="00D6636A" w:rsidP="00A66849">
      <w:pPr>
        <w:spacing w:after="0"/>
        <w:ind w:left="-284" w:right="-337"/>
        <w:rPr>
          <w:rFonts w:ascii="Arial" w:hAnsi="Arial" w:cs="Arial"/>
          <w:sz w:val="22"/>
          <w:szCs w:val="22"/>
        </w:rPr>
      </w:pPr>
    </w:p>
    <w:p w14:paraId="72A8542D" w14:textId="439DD0C0" w:rsidR="005759B2" w:rsidRPr="00A449DA" w:rsidRDefault="00A66849" w:rsidP="00A66849">
      <w:pPr>
        <w:spacing w:after="0"/>
        <w:ind w:left="-284" w:right="-337"/>
        <w:rPr>
          <w:rFonts w:ascii="Arial" w:hAnsi="Arial" w:cs="Arial"/>
          <w:b/>
          <w:bCs/>
          <w:sz w:val="22"/>
          <w:szCs w:val="22"/>
        </w:rPr>
      </w:pPr>
      <w:r w:rsidRPr="00A449DA">
        <w:rPr>
          <w:rFonts w:ascii="Arial" w:hAnsi="Arial" w:cs="Arial"/>
          <w:b/>
          <w:bCs/>
          <w:sz w:val="22"/>
          <w:szCs w:val="22"/>
        </w:rPr>
        <w:t>Subject areas</w:t>
      </w:r>
    </w:p>
    <w:p w14:paraId="2D12975A" w14:textId="2DD9900F" w:rsidR="002E60DA" w:rsidRDefault="00A66849" w:rsidP="005759B2">
      <w:pPr>
        <w:spacing w:after="0"/>
        <w:ind w:left="-284" w:right="-337"/>
        <w:rPr>
          <w:rFonts w:ascii="Arial" w:hAnsi="Arial" w:cs="Arial"/>
          <w:bCs/>
          <w:sz w:val="22"/>
          <w:szCs w:val="22"/>
        </w:rPr>
      </w:pPr>
      <w:r w:rsidRPr="00A449DA">
        <w:rPr>
          <w:rFonts w:ascii="Arial" w:hAnsi="Arial" w:cs="Arial"/>
          <w:bCs/>
          <w:sz w:val="22"/>
          <w:szCs w:val="22"/>
        </w:rPr>
        <w:t xml:space="preserve">Cell Biology, Genetics, Molecular Biology, </w:t>
      </w:r>
      <w:r w:rsidR="00C453B9">
        <w:rPr>
          <w:rFonts w:ascii="Arial" w:hAnsi="Arial" w:cs="Arial"/>
          <w:bCs/>
          <w:sz w:val="22"/>
          <w:szCs w:val="22"/>
        </w:rPr>
        <w:t>Neuroscience</w:t>
      </w:r>
    </w:p>
    <w:p w14:paraId="66D9F176" w14:textId="52112331" w:rsidR="00C62765" w:rsidRDefault="00C62765" w:rsidP="005759B2">
      <w:pPr>
        <w:spacing w:after="0"/>
        <w:ind w:left="-284" w:right="-337"/>
        <w:rPr>
          <w:rFonts w:ascii="Arial" w:hAnsi="Arial" w:cs="Arial"/>
          <w:bCs/>
          <w:sz w:val="22"/>
          <w:szCs w:val="22"/>
        </w:rPr>
      </w:pPr>
    </w:p>
    <w:p w14:paraId="1102C3FA" w14:textId="7463F2AF" w:rsidR="00727D7F" w:rsidRDefault="00C62765" w:rsidP="005759B2">
      <w:pPr>
        <w:spacing w:after="0"/>
        <w:ind w:left="-284" w:right="-337"/>
        <w:rPr>
          <w:rFonts w:ascii="Arial" w:hAnsi="Arial" w:cs="Arial"/>
          <w:sz w:val="22"/>
          <w:szCs w:val="22"/>
        </w:rPr>
      </w:pPr>
      <w:r w:rsidRPr="00C62765">
        <w:rPr>
          <w:rFonts w:ascii="Arial" w:hAnsi="Arial" w:cs="Arial"/>
          <w:b/>
          <w:sz w:val="22"/>
          <w:szCs w:val="22"/>
        </w:rPr>
        <w:t>How to apply</w:t>
      </w:r>
      <w:r>
        <w:rPr>
          <w:rFonts w:ascii="Arial" w:hAnsi="Arial" w:cs="Arial"/>
          <w:b/>
          <w:sz w:val="22"/>
          <w:szCs w:val="22"/>
        </w:rPr>
        <w:t xml:space="preserve">: </w:t>
      </w:r>
      <w:r w:rsidRPr="00C62765">
        <w:rPr>
          <w:rFonts w:ascii="Arial" w:hAnsi="Arial" w:cs="Arial"/>
          <w:bCs/>
          <w:sz w:val="22"/>
          <w:szCs w:val="22"/>
        </w:rPr>
        <w:t>please visit the</w:t>
      </w:r>
      <w:r>
        <w:rPr>
          <w:rFonts w:ascii="Arial" w:hAnsi="Arial" w:cs="Arial"/>
          <w:b/>
          <w:sz w:val="22"/>
          <w:szCs w:val="22"/>
        </w:rPr>
        <w:t xml:space="preserve"> </w:t>
      </w:r>
      <w:hyperlink r:id="rId7" w:history="1">
        <w:r>
          <w:rPr>
            <w:rStyle w:val="Hyperlink"/>
            <w:rFonts w:ascii="Arial" w:hAnsi="Arial" w:cs="Arial"/>
            <w:sz w:val="22"/>
            <w:szCs w:val="22"/>
          </w:rPr>
          <w:t>MBU's Postgraduate Studies website</w:t>
        </w:r>
      </w:hyperlink>
    </w:p>
    <w:sectPr w:rsidR="00727D7F" w:rsidSect="00B025FC">
      <w:pgSz w:w="11899" w:h="16838"/>
      <w:pgMar w:top="629" w:right="1440" w:bottom="444" w:left="1440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C34532"/>
    <w:multiLevelType w:val="hybridMultilevel"/>
    <w:tmpl w:val="BC44180C"/>
    <w:lvl w:ilvl="0" w:tplc="0809000F">
      <w:start w:val="1"/>
      <w:numFmt w:val="decimal"/>
      <w:lvlText w:val="%1."/>
      <w:lvlJc w:val="left"/>
      <w:pPr>
        <w:ind w:left="436" w:hanging="360"/>
      </w:pPr>
    </w:lvl>
    <w:lvl w:ilvl="1" w:tplc="08090019" w:tentative="1">
      <w:start w:val="1"/>
      <w:numFmt w:val="lowerLetter"/>
      <w:lvlText w:val="%2."/>
      <w:lvlJc w:val="left"/>
      <w:pPr>
        <w:ind w:left="1156" w:hanging="360"/>
      </w:pPr>
    </w:lvl>
    <w:lvl w:ilvl="2" w:tplc="0809001B" w:tentative="1">
      <w:start w:val="1"/>
      <w:numFmt w:val="lowerRoman"/>
      <w:lvlText w:val="%3."/>
      <w:lvlJc w:val="right"/>
      <w:pPr>
        <w:ind w:left="1876" w:hanging="180"/>
      </w:pPr>
    </w:lvl>
    <w:lvl w:ilvl="3" w:tplc="0809000F" w:tentative="1">
      <w:start w:val="1"/>
      <w:numFmt w:val="decimal"/>
      <w:lvlText w:val="%4."/>
      <w:lvlJc w:val="left"/>
      <w:pPr>
        <w:ind w:left="2596" w:hanging="360"/>
      </w:pPr>
    </w:lvl>
    <w:lvl w:ilvl="4" w:tplc="08090019" w:tentative="1">
      <w:start w:val="1"/>
      <w:numFmt w:val="lowerLetter"/>
      <w:lvlText w:val="%5."/>
      <w:lvlJc w:val="left"/>
      <w:pPr>
        <w:ind w:left="3316" w:hanging="360"/>
      </w:pPr>
    </w:lvl>
    <w:lvl w:ilvl="5" w:tplc="0809001B" w:tentative="1">
      <w:start w:val="1"/>
      <w:numFmt w:val="lowerRoman"/>
      <w:lvlText w:val="%6."/>
      <w:lvlJc w:val="right"/>
      <w:pPr>
        <w:ind w:left="4036" w:hanging="180"/>
      </w:pPr>
    </w:lvl>
    <w:lvl w:ilvl="6" w:tplc="0809000F" w:tentative="1">
      <w:start w:val="1"/>
      <w:numFmt w:val="decimal"/>
      <w:lvlText w:val="%7."/>
      <w:lvlJc w:val="left"/>
      <w:pPr>
        <w:ind w:left="4756" w:hanging="360"/>
      </w:pPr>
    </w:lvl>
    <w:lvl w:ilvl="7" w:tplc="08090019" w:tentative="1">
      <w:start w:val="1"/>
      <w:numFmt w:val="lowerLetter"/>
      <w:lvlText w:val="%8."/>
      <w:lvlJc w:val="left"/>
      <w:pPr>
        <w:ind w:left="5476" w:hanging="360"/>
      </w:pPr>
    </w:lvl>
    <w:lvl w:ilvl="8" w:tplc="0809001B" w:tentative="1">
      <w:start w:val="1"/>
      <w:numFmt w:val="lowerRoman"/>
      <w:lvlText w:val="%9."/>
      <w:lvlJc w:val="right"/>
      <w:pPr>
        <w:ind w:left="6196" w:hanging="180"/>
      </w:pPr>
    </w:lvl>
  </w:abstractNum>
  <w:num w:numId="1" w16cid:durableId="15135645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Nature Struct Mol Biol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z5apzr0fjxraxlespfu5d90vaspwpsf0sefr&quot;&gt;My EndNote Library-Converted&lt;record-ids&gt;&lt;item&gt;10208&lt;/item&gt;&lt;item&gt;10913&lt;/item&gt;&lt;item&gt;11087&lt;/item&gt;&lt;/record-ids&gt;&lt;/item&gt;&lt;/Libraries&gt;"/>
  </w:docVars>
  <w:rsids>
    <w:rsidRoot w:val="002D5212"/>
    <w:rsid w:val="0000047E"/>
    <w:rsid w:val="00031227"/>
    <w:rsid w:val="00043043"/>
    <w:rsid w:val="00043B7D"/>
    <w:rsid w:val="000C03FD"/>
    <w:rsid w:val="000F1896"/>
    <w:rsid w:val="00100332"/>
    <w:rsid w:val="00115A88"/>
    <w:rsid w:val="0013412C"/>
    <w:rsid w:val="00140797"/>
    <w:rsid w:val="001617BA"/>
    <w:rsid w:val="00207449"/>
    <w:rsid w:val="002402DE"/>
    <w:rsid w:val="002565F7"/>
    <w:rsid w:val="00297FE9"/>
    <w:rsid w:val="002B74CA"/>
    <w:rsid w:val="002C61ED"/>
    <w:rsid w:val="002D5212"/>
    <w:rsid w:val="002E60DA"/>
    <w:rsid w:val="002F5F19"/>
    <w:rsid w:val="002F680B"/>
    <w:rsid w:val="003219B7"/>
    <w:rsid w:val="00343F8E"/>
    <w:rsid w:val="00370C7B"/>
    <w:rsid w:val="00393546"/>
    <w:rsid w:val="003D64B7"/>
    <w:rsid w:val="004176FE"/>
    <w:rsid w:val="00436739"/>
    <w:rsid w:val="00490E81"/>
    <w:rsid w:val="00493B8F"/>
    <w:rsid w:val="004B42AC"/>
    <w:rsid w:val="004F753A"/>
    <w:rsid w:val="00513032"/>
    <w:rsid w:val="00517FFA"/>
    <w:rsid w:val="00523DC0"/>
    <w:rsid w:val="005365B4"/>
    <w:rsid w:val="005759B2"/>
    <w:rsid w:val="00577053"/>
    <w:rsid w:val="00580AEB"/>
    <w:rsid w:val="005A1181"/>
    <w:rsid w:val="005B47A5"/>
    <w:rsid w:val="005B6CAD"/>
    <w:rsid w:val="00604FE5"/>
    <w:rsid w:val="00657C16"/>
    <w:rsid w:val="006B3E91"/>
    <w:rsid w:val="006E525A"/>
    <w:rsid w:val="00727D7F"/>
    <w:rsid w:val="00732E8A"/>
    <w:rsid w:val="00737242"/>
    <w:rsid w:val="00753A45"/>
    <w:rsid w:val="00762060"/>
    <w:rsid w:val="007C128C"/>
    <w:rsid w:val="007C7BD5"/>
    <w:rsid w:val="007F63C0"/>
    <w:rsid w:val="008736A2"/>
    <w:rsid w:val="008C0864"/>
    <w:rsid w:val="008E6CE9"/>
    <w:rsid w:val="009027B8"/>
    <w:rsid w:val="00910ABE"/>
    <w:rsid w:val="00920E83"/>
    <w:rsid w:val="009666CB"/>
    <w:rsid w:val="00992EAA"/>
    <w:rsid w:val="009A3F5E"/>
    <w:rsid w:val="009D329F"/>
    <w:rsid w:val="00A22C51"/>
    <w:rsid w:val="00A25310"/>
    <w:rsid w:val="00A265F9"/>
    <w:rsid w:val="00A449DA"/>
    <w:rsid w:val="00A54FC5"/>
    <w:rsid w:val="00A66849"/>
    <w:rsid w:val="00A76C9A"/>
    <w:rsid w:val="00AF2E4C"/>
    <w:rsid w:val="00B025FC"/>
    <w:rsid w:val="00B13EE0"/>
    <w:rsid w:val="00B15B6C"/>
    <w:rsid w:val="00B45D03"/>
    <w:rsid w:val="00B8761B"/>
    <w:rsid w:val="00B9218F"/>
    <w:rsid w:val="00B93346"/>
    <w:rsid w:val="00C00A65"/>
    <w:rsid w:val="00C06E89"/>
    <w:rsid w:val="00C429D2"/>
    <w:rsid w:val="00C453B9"/>
    <w:rsid w:val="00C62765"/>
    <w:rsid w:val="00C93201"/>
    <w:rsid w:val="00CD42FE"/>
    <w:rsid w:val="00D116E3"/>
    <w:rsid w:val="00D26200"/>
    <w:rsid w:val="00D52D3B"/>
    <w:rsid w:val="00D57334"/>
    <w:rsid w:val="00D62CCC"/>
    <w:rsid w:val="00D6636A"/>
    <w:rsid w:val="00D91721"/>
    <w:rsid w:val="00DB2B67"/>
    <w:rsid w:val="00E0575B"/>
    <w:rsid w:val="00E43349"/>
    <w:rsid w:val="00E93B5E"/>
    <w:rsid w:val="00ED3B3E"/>
    <w:rsid w:val="00F04E2C"/>
    <w:rsid w:val="00F3146C"/>
    <w:rsid w:val="00F6095A"/>
    <w:rsid w:val="00F6328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E03BA90"/>
  <w15:chartTrackingRefBased/>
  <w15:docId w15:val="{75E4FEF5-EE9A-944C-BA4A-9CB1F6441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1D4"/>
    <w:pPr>
      <w:spacing w:after="200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1419FC"/>
  </w:style>
  <w:style w:type="paragraph" w:styleId="BodyTextIndent2">
    <w:name w:val="Body Text Indent 2"/>
    <w:basedOn w:val="Normal"/>
    <w:link w:val="BodyTextIndent2Char"/>
    <w:rsid w:val="00757DF0"/>
    <w:pPr>
      <w:widowControl w:val="0"/>
      <w:autoSpaceDE w:val="0"/>
      <w:autoSpaceDN w:val="0"/>
      <w:adjustRightInd w:val="0"/>
      <w:spacing w:after="0"/>
      <w:ind w:firstLine="284"/>
      <w:jc w:val="both"/>
    </w:pPr>
    <w:rPr>
      <w:rFonts w:ascii="Times New Roman" w:eastAsia="Times New Roman" w:hAnsi="Times New Roman"/>
      <w:lang w:val="en-US"/>
    </w:rPr>
  </w:style>
  <w:style w:type="character" w:customStyle="1" w:styleId="BodyTextIndent2Char">
    <w:name w:val="Body Text Indent 2 Char"/>
    <w:link w:val="BodyTextIndent2"/>
    <w:rsid w:val="00757DF0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57DF0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757DF0"/>
    <w:rPr>
      <w:sz w:val="24"/>
      <w:szCs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11274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411274"/>
    <w:rPr>
      <w:sz w:val="24"/>
      <w:szCs w:val="24"/>
    </w:rPr>
  </w:style>
  <w:style w:type="character" w:styleId="Hyperlink">
    <w:name w:val="Hyperlink"/>
    <w:uiPriority w:val="99"/>
    <w:unhideWhenUsed/>
    <w:rsid w:val="00E43349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E43349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2C61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ndNoteBibliographyTitle">
    <w:name w:val="EndNote Bibliography Title"/>
    <w:basedOn w:val="Normal"/>
    <w:link w:val="EndNoteBibliographyTitleChar"/>
    <w:rsid w:val="00C00A65"/>
    <w:pPr>
      <w:spacing w:after="0"/>
      <w:jc w:val="center"/>
    </w:pPr>
    <w:rPr>
      <w:rFonts w:ascii="Times New Roman" w:hAnsi="Times New Roman"/>
      <w:lang w:val="en-US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C00A65"/>
    <w:rPr>
      <w:rFonts w:ascii="Times New Roman" w:hAnsi="Times New Roman"/>
      <w:sz w:val="24"/>
      <w:szCs w:val="24"/>
      <w:lang w:val="en-US" w:eastAsia="en-US"/>
    </w:rPr>
  </w:style>
  <w:style w:type="paragraph" w:customStyle="1" w:styleId="EndNoteBibliography">
    <w:name w:val="EndNote Bibliography"/>
    <w:basedOn w:val="Normal"/>
    <w:link w:val="EndNoteBibliographyChar"/>
    <w:rsid w:val="00C00A65"/>
    <w:pPr>
      <w:jc w:val="both"/>
    </w:pPr>
    <w:rPr>
      <w:rFonts w:ascii="Times New Roman" w:hAnsi="Times New Roman"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C00A65"/>
    <w:rPr>
      <w:rFonts w:ascii="Times New Roman" w:hAnsi="Times New Roman"/>
      <w:sz w:val="24"/>
      <w:szCs w:val="24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C62765"/>
    <w:rPr>
      <w:color w:val="954F72" w:themeColor="followedHyperlink"/>
      <w:u w:val="single"/>
    </w:rPr>
  </w:style>
  <w:style w:type="paragraph" w:styleId="Revision">
    <w:name w:val="Revision"/>
    <w:hidden/>
    <w:uiPriority w:val="71"/>
    <w:rsid w:val="00F63281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72"/>
    <w:qFormat/>
    <w:rsid w:val="009027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45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rc-mbu.cam.ac.uk/postgraduate-studi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rc-mbu.cam.ac.uk/research-groups/whitworth-group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495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MRC Dunn</Company>
  <LinksUpToDate>false</LinksUpToDate>
  <CharactersWithSpaces>3313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Minczuk</dc:creator>
  <cp:keywords/>
  <dc:description/>
  <cp:lastModifiedBy>Penny Peck</cp:lastModifiedBy>
  <cp:revision>18</cp:revision>
  <cp:lastPrinted>2009-01-21T15:49:00Z</cp:lastPrinted>
  <dcterms:created xsi:type="dcterms:W3CDTF">2022-08-25T07:11:00Z</dcterms:created>
  <dcterms:modified xsi:type="dcterms:W3CDTF">2024-02-08T13:14:00Z</dcterms:modified>
  <cp:category/>
</cp:coreProperties>
</file>